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DE" w:rsidRPr="003E0D6D" w:rsidRDefault="004D01DE" w:rsidP="004D01DE">
      <w:pPr>
        <w:jc w:val="center"/>
        <w:rPr>
          <w:rFonts w:ascii="標楷體" w:eastAsia="標楷體" w:hAnsi="標楷體"/>
          <w:sz w:val="32"/>
          <w:szCs w:val="32"/>
        </w:rPr>
      </w:pPr>
      <w:r w:rsidRPr="003E0D6D">
        <w:rPr>
          <w:rFonts w:ascii="標楷體" w:eastAsia="標楷體" w:hAnsi="標楷體" w:hint="eastAsia"/>
          <w:sz w:val="32"/>
          <w:szCs w:val="32"/>
        </w:rPr>
        <w:t>國立中央大學新聘傑出教研人員獎勵辦法</w:t>
      </w:r>
    </w:p>
    <w:p w:rsidR="004D01DE" w:rsidRPr="003E0D6D" w:rsidRDefault="004D01DE" w:rsidP="004D01DE">
      <w:pPr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九十四學年度第二學期研究發展會議通過（</w:t>
      </w:r>
      <w:r w:rsidRPr="003E0D6D">
        <w:rPr>
          <w:rFonts w:ascii="Times New Roman" w:eastAsia="標楷體" w:hAnsi="Times New Roman"/>
          <w:sz w:val="20"/>
          <w:szCs w:val="20"/>
        </w:rPr>
        <w:t>95.04.11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Pr="003E0D6D" w:rsidRDefault="004D01DE" w:rsidP="004D01DE">
      <w:pPr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九十七學年度第一次校務基金管理委員會通過（</w:t>
      </w:r>
      <w:r w:rsidRPr="003E0D6D">
        <w:rPr>
          <w:rFonts w:ascii="Times New Roman" w:eastAsia="標楷體" w:hAnsi="Times New Roman"/>
          <w:sz w:val="20"/>
          <w:szCs w:val="20"/>
        </w:rPr>
        <w:t>97.08.01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Pr="003E0D6D" w:rsidRDefault="004D01DE" w:rsidP="004D01DE">
      <w:pPr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教育部台高</w:t>
      </w:r>
      <w:r w:rsidRPr="003E0D6D">
        <w:rPr>
          <w:rFonts w:ascii="Times New Roman" w:eastAsia="標楷體" w:hAnsi="Times New Roman"/>
          <w:sz w:val="20"/>
          <w:szCs w:val="20"/>
        </w:rPr>
        <w:t>(</w:t>
      </w:r>
      <w:r w:rsidRPr="003E0D6D">
        <w:rPr>
          <w:rFonts w:ascii="Times New Roman" w:eastAsia="標楷體" w:hAnsi="Times New Roman"/>
          <w:sz w:val="20"/>
          <w:szCs w:val="20"/>
        </w:rPr>
        <w:t>三</w:t>
      </w:r>
      <w:r w:rsidRPr="003E0D6D">
        <w:rPr>
          <w:rFonts w:ascii="Times New Roman" w:eastAsia="標楷體" w:hAnsi="Times New Roman"/>
          <w:sz w:val="20"/>
          <w:szCs w:val="20"/>
        </w:rPr>
        <w:t>)</w:t>
      </w:r>
      <w:r w:rsidRPr="003E0D6D">
        <w:rPr>
          <w:rFonts w:ascii="Times New Roman" w:eastAsia="標楷體" w:hAnsi="Times New Roman"/>
          <w:sz w:val="20"/>
          <w:szCs w:val="20"/>
        </w:rPr>
        <w:t>字第</w:t>
      </w:r>
      <w:r w:rsidRPr="003E0D6D">
        <w:rPr>
          <w:rFonts w:ascii="Times New Roman" w:eastAsia="標楷體" w:hAnsi="Times New Roman"/>
          <w:sz w:val="20"/>
          <w:szCs w:val="20"/>
        </w:rPr>
        <w:t>0970156759</w:t>
      </w:r>
      <w:r w:rsidRPr="003E0D6D">
        <w:rPr>
          <w:rFonts w:ascii="Times New Roman" w:eastAsia="標楷體" w:hAnsi="Times New Roman"/>
          <w:sz w:val="20"/>
          <w:szCs w:val="20"/>
        </w:rPr>
        <w:t>號函同意備查（</w:t>
      </w:r>
      <w:r w:rsidRPr="003E0D6D">
        <w:rPr>
          <w:rFonts w:ascii="Times New Roman" w:eastAsia="標楷體" w:hAnsi="Times New Roman"/>
          <w:sz w:val="20"/>
          <w:szCs w:val="20"/>
        </w:rPr>
        <w:t>97.08.14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Pr="003E0D6D" w:rsidRDefault="004D01DE" w:rsidP="004D01DE">
      <w:pPr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九十七學年度第一學期研究發展會議通過（</w:t>
      </w:r>
      <w:r w:rsidRPr="003E0D6D">
        <w:rPr>
          <w:rFonts w:ascii="Times New Roman" w:eastAsia="標楷體" w:hAnsi="Times New Roman"/>
          <w:sz w:val="20"/>
          <w:szCs w:val="20"/>
        </w:rPr>
        <w:t>97.09.09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Pr="003E0D6D" w:rsidRDefault="004D01DE" w:rsidP="004D01DE">
      <w:pPr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九十八學年度第二學期研究發展會議通過（</w:t>
      </w:r>
      <w:r w:rsidRPr="003E0D6D">
        <w:rPr>
          <w:rFonts w:ascii="Times New Roman" w:eastAsia="標楷體" w:hAnsi="Times New Roman"/>
          <w:sz w:val="20"/>
          <w:szCs w:val="20"/>
        </w:rPr>
        <w:t>99.02.23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Pr="003E0D6D" w:rsidRDefault="004D01DE" w:rsidP="004D01DE">
      <w:pPr>
        <w:wordWrap w:val="0"/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九十八學年度第三次校務基金管理委員會通過（</w:t>
      </w:r>
      <w:r w:rsidRPr="003E0D6D">
        <w:rPr>
          <w:rFonts w:ascii="Times New Roman" w:eastAsia="標楷體" w:hAnsi="Times New Roman"/>
          <w:sz w:val="20"/>
          <w:szCs w:val="20"/>
        </w:rPr>
        <w:t>99.03.19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Pr="003E0D6D" w:rsidRDefault="004D01DE" w:rsidP="004D01DE">
      <w:pPr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九十九學年度第一學期研究發展會議通過（</w:t>
      </w:r>
      <w:r w:rsidRPr="003E0D6D">
        <w:rPr>
          <w:rFonts w:ascii="Times New Roman" w:eastAsia="標楷體" w:hAnsi="Times New Roman"/>
          <w:sz w:val="20"/>
          <w:szCs w:val="20"/>
        </w:rPr>
        <w:t>99.09.23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Pr="003E0D6D" w:rsidRDefault="004D01DE" w:rsidP="004D01DE">
      <w:pPr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九十九學年度第一次校務基金管理委員會通過（</w:t>
      </w:r>
      <w:r w:rsidRPr="003E0D6D">
        <w:rPr>
          <w:rFonts w:ascii="Times New Roman" w:eastAsia="標楷體" w:hAnsi="Times New Roman"/>
          <w:sz w:val="20"/>
          <w:szCs w:val="20"/>
        </w:rPr>
        <w:t>99.10.21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Pr="003E0D6D" w:rsidRDefault="004D01DE" w:rsidP="004D01DE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一</w:t>
      </w:r>
      <w:r w:rsidRPr="003E0D6D">
        <w:rPr>
          <w:rFonts w:ascii="Times New Roman" w:eastAsia="標楷體" w:hAnsi="Times New Roman"/>
          <w:sz w:val="20"/>
          <w:szCs w:val="20"/>
        </w:rPr>
        <w:t>○○</w:t>
      </w:r>
      <w:r w:rsidRPr="003E0D6D">
        <w:rPr>
          <w:rFonts w:ascii="Times New Roman" w:eastAsia="標楷體" w:hAnsi="Times New Roman"/>
          <w:sz w:val="20"/>
          <w:szCs w:val="20"/>
        </w:rPr>
        <w:t>學年度第一學期研究發展會議通過</w:t>
      </w:r>
      <w:r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Pr="003E0D6D">
        <w:rPr>
          <w:rFonts w:ascii="Times New Roman" w:eastAsia="標楷體" w:hAnsi="Times New Roman"/>
          <w:sz w:val="20"/>
          <w:szCs w:val="20"/>
        </w:rPr>
        <w:t xml:space="preserve">(100.09.27) </w:t>
      </w:r>
    </w:p>
    <w:p w:rsidR="004D01DE" w:rsidRPr="003E0D6D" w:rsidRDefault="004D01DE" w:rsidP="004D01DE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一</w:t>
      </w:r>
      <w:r w:rsidRPr="003E0D6D">
        <w:rPr>
          <w:rFonts w:ascii="Times New Roman" w:eastAsia="標楷體" w:hAnsi="Times New Roman"/>
          <w:sz w:val="20"/>
          <w:szCs w:val="20"/>
        </w:rPr>
        <w:t>○○</w:t>
      </w:r>
      <w:r w:rsidRPr="003E0D6D">
        <w:rPr>
          <w:rFonts w:ascii="Times New Roman" w:eastAsia="標楷體" w:hAnsi="Times New Roman"/>
          <w:sz w:val="20"/>
          <w:szCs w:val="20"/>
        </w:rPr>
        <w:t>學年度第二次校務基金管理委員會通過（</w:t>
      </w:r>
      <w:r w:rsidRPr="003E0D6D">
        <w:rPr>
          <w:rFonts w:ascii="Times New Roman" w:eastAsia="標楷體" w:hAnsi="Times New Roman"/>
          <w:sz w:val="20"/>
          <w:szCs w:val="20"/>
        </w:rPr>
        <w:t>100.09.29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Pr="003E0D6D" w:rsidRDefault="004D01DE" w:rsidP="004D01DE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一</w:t>
      </w:r>
      <w:r w:rsidRPr="003E0D6D">
        <w:rPr>
          <w:rFonts w:ascii="Times New Roman" w:eastAsia="標楷體" w:hAnsi="Times New Roman"/>
          <w:sz w:val="20"/>
          <w:szCs w:val="20"/>
        </w:rPr>
        <w:t>○</w:t>
      </w:r>
      <w:r w:rsidRPr="003E0D6D">
        <w:rPr>
          <w:rFonts w:ascii="Times New Roman" w:eastAsia="標楷體" w:hAnsi="Times New Roman"/>
          <w:sz w:val="20"/>
          <w:szCs w:val="20"/>
        </w:rPr>
        <w:t>一學年度第一學期研究發展會議通過（</w:t>
      </w:r>
      <w:r w:rsidRPr="003E0D6D">
        <w:rPr>
          <w:rFonts w:ascii="Times New Roman" w:eastAsia="標楷體" w:hAnsi="Times New Roman"/>
          <w:sz w:val="20"/>
          <w:szCs w:val="20"/>
        </w:rPr>
        <w:t>101.09.24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Default="004D01DE" w:rsidP="004D01DE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一</w:t>
      </w:r>
      <w:r w:rsidRPr="003E0D6D">
        <w:rPr>
          <w:rFonts w:ascii="Times New Roman" w:eastAsia="標楷體" w:hAnsi="Times New Roman"/>
          <w:sz w:val="20"/>
          <w:szCs w:val="20"/>
        </w:rPr>
        <w:t>○</w:t>
      </w:r>
      <w:r w:rsidRPr="003E0D6D">
        <w:rPr>
          <w:rFonts w:ascii="Times New Roman" w:eastAsia="標楷體" w:hAnsi="Times New Roman"/>
          <w:sz w:val="20"/>
          <w:szCs w:val="20"/>
        </w:rPr>
        <w:t>一學年度第</w:t>
      </w:r>
      <w:r w:rsidRPr="003E0D6D">
        <w:rPr>
          <w:rFonts w:ascii="Times New Roman" w:eastAsia="標楷體" w:hAnsi="Times New Roman" w:hint="eastAsia"/>
          <w:sz w:val="20"/>
          <w:szCs w:val="20"/>
        </w:rPr>
        <w:t>二次校務基金管理委員會</w:t>
      </w:r>
      <w:r w:rsidRPr="003E0D6D">
        <w:rPr>
          <w:rFonts w:ascii="Times New Roman" w:eastAsia="標楷體" w:hAnsi="Times New Roman"/>
          <w:sz w:val="20"/>
          <w:szCs w:val="20"/>
        </w:rPr>
        <w:t>通過（</w:t>
      </w:r>
      <w:r w:rsidRPr="003E0D6D">
        <w:rPr>
          <w:rFonts w:ascii="Times New Roman" w:eastAsia="標楷體" w:hAnsi="Times New Roman"/>
          <w:sz w:val="20"/>
          <w:szCs w:val="20"/>
        </w:rPr>
        <w:t>101.</w:t>
      </w:r>
      <w:r w:rsidRPr="003E0D6D">
        <w:rPr>
          <w:rFonts w:ascii="Times New Roman" w:eastAsia="標楷體" w:hAnsi="Times New Roman" w:hint="eastAsia"/>
          <w:sz w:val="20"/>
          <w:szCs w:val="20"/>
        </w:rPr>
        <w:t>11</w:t>
      </w:r>
      <w:r w:rsidRPr="003E0D6D">
        <w:rPr>
          <w:rFonts w:ascii="Times New Roman" w:eastAsia="標楷體" w:hAnsi="Times New Roman"/>
          <w:sz w:val="20"/>
          <w:szCs w:val="20"/>
        </w:rPr>
        <w:t>.</w:t>
      </w:r>
      <w:r w:rsidRPr="003E0D6D">
        <w:rPr>
          <w:rFonts w:ascii="Times New Roman" w:eastAsia="標楷體" w:hAnsi="Times New Roman" w:hint="eastAsia"/>
          <w:sz w:val="20"/>
          <w:szCs w:val="20"/>
        </w:rPr>
        <w:t>05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Default="004D01DE" w:rsidP="004D01DE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一</w:t>
      </w:r>
      <w:r w:rsidRPr="003E0D6D">
        <w:rPr>
          <w:rFonts w:ascii="Times New Roman" w:eastAsia="標楷體" w:hAnsi="Times New Roman"/>
          <w:sz w:val="20"/>
          <w:szCs w:val="20"/>
        </w:rPr>
        <w:t>○</w:t>
      </w:r>
      <w:r>
        <w:rPr>
          <w:rFonts w:ascii="Times New Roman" w:eastAsia="標楷體" w:hAnsi="Times New Roman" w:hint="eastAsia"/>
          <w:sz w:val="20"/>
          <w:szCs w:val="20"/>
        </w:rPr>
        <w:t>二</w:t>
      </w:r>
      <w:r w:rsidRPr="003E0D6D">
        <w:rPr>
          <w:rFonts w:ascii="Times New Roman" w:eastAsia="標楷體" w:hAnsi="Times New Roman"/>
          <w:sz w:val="20"/>
          <w:szCs w:val="20"/>
        </w:rPr>
        <w:t>學年度第</w:t>
      </w:r>
      <w:r>
        <w:rPr>
          <w:rFonts w:ascii="Times New Roman" w:eastAsia="標楷體" w:hAnsi="Times New Roman" w:hint="eastAsia"/>
          <w:sz w:val="20"/>
          <w:szCs w:val="20"/>
        </w:rPr>
        <w:t>一學期研究發展會議</w:t>
      </w:r>
      <w:r w:rsidRPr="003E0D6D">
        <w:rPr>
          <w:rFonts w:ascii="Times New Roman" w:eastAsia="標楷體" w:hAnsi="Times New Roman"/>
          <w:sz w:val="20"/>
          <w:szCs w:val="20"/>
        </w:rPr>
        <w:t>通過（</w:t>
      </w:r>
      <w:r w:rsidRPr="003E0D6D">
        <w:rPr>
          <w:rFonts w:ascii="Times New Roman" w:eastAsia="標楷體" w:hAnsi="Times New Roman"/>
          <w:sz w:val="20"/>
          <w:szCs w:val="20"/>
        </w:rPr>
        <w:t>10</w:t>
      </w:r>
      <w:r>
        <w:rPr>
          <w:rFonts w:ascii="Times New Roman" w:eastAsia="標楷體" w:hAnsi="Times New Roman" w:hint="eastAsia"/>
          <w:sz w:val="20"/>
          <w:szCs w:val="20"/>
        </w:rPr>
        <w:t>2</w:t>
      </w:r>
      <w:r w:rsidRPr="003E0D6D">
        <w:rPr>
          <w:rFonts w:ascii="Times New Roman" w:eastAsia="標楷體" w:hAnsi="Times New Roman"/>
          <w:sz w:val="20"/>
          <w:szCs w:val="20"/>
        </w:rPr>
        <w:t>.</w:t>
      </w:r>
      <w:r>
        <w:rPr>
          <w:rFonts w:ascii="Times New Roman" w:eastAsia="標楷體" w:hAnsi="Times New Roman" w:hint="eastAsia"/>
          <w:sz w:val="20"/>
          <w:szCs w:val="20"/>
        </w:rPr>
        <w:t>09</w:t>
      </w:r>
      <w:r w:rsidRPr="003E0D6D">
        <w:rPr>
          <w:rFonts w:ascii="Times New Roman" w:eastAsia="標楷體" w:hAnsi="Times New Roman"/>
          <w:sz w:val="20"/>
          <w:szCs w:val="20"/>
        </w:rPr>
        <w:t>.</w:t>
      </w:r>
      <w:r>
        <w:rPr>
          <w:rFonts w:ascii="Times New Roman" w:eastAsia="標楷體" w:hAnsi="Times New Roman" w:hint="eastAsia"/>
          <w:sz w:val="20"/>
          <w:szCs w:val="20"/>
        </w:rPr>
        <w:t>27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4D01DE" w:rsidRDefault="004D01DE" w:rsidP="004D01DE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3E0D6D">
        <w:rPr>
          <w:rFonts w:ascii="Times New Roman" w:eastAsia="標楷體" w:hAnsi="Times New Roman"/>
          <w:sz w:val="20"/>
          <w:szCs w:val="20"/>
        </w:rPr>
        <w:t>一</w:t>
      </w:r>
      <w:r w:rsidRPr="003E0D6D">
        <w:rPr>
          <w:rFonts w:ascii="Times New Roman" w:eastAsia="標楷體" w:hAnsi="Times New Roman"/>
          <w:sz w:val="20"/>
          <w:szCs w:val="20"/>
        </w:rPr>
        <w:t>○</w:t>
      </w:r>
      <w:r>
        <w:rPr>
          <w:rFonts w:ascii="Times New Roman" w:eastAsia="標楷體" w:hAnsi="Times New Roman" w:hint="eastAsia"/>
          <w:sz w:val="20"/>
          <w:szCs w:val="20"/>
        </w:rPr>
        <w:t>二</w:t>
      </w:r>
      <w:r w:rsidRPr="003E0D6D">
        <w:rPr>
          <w:rFonts w:ascii="Times New Roman" w:eastAsia="標楷體" w:hAnsi="Times New Roman"/>
          <w:sz w:val="20"/>
          <w:szCs w:val="20"/>
        </w:rPr>
        <w:t>學年度第</w:t>
      </w:r>
      <w:r>
        <w:rPr>
          <w:rFonts w:ascii="Times New Roman" w:eastAsia="標楷體" w:hAnsi="Times New Roman" w:hint="eastAsia"/>
          <w:sz w:val="20"/>
          <w:szCs w:val="20"/>
        </w:rPr>
        <w:t>二次學校</w:t>
      </w:r>
      <w:proofErr w:type="gramStart"/>
      <w:r>
        <w:rPr>
          <w:rFonts w:ascii="Times New Roman" w:eastAsia="標楷體" w:hAnsi="Times New Roman" w:hint="eastAsia"/>
          <w:sz w:val="20"/>
          <w:szCs w:val="20"/>
        </w:rPr>
        <w:t>務</w:t>
      </w:r>
      <w:proofErr w:type="gramEnd"/>
      <w:r>
        <w:rPr>
          <w:rFonts w:ascii="Times New Roman" w:eastAsia="標楷體" w:hAnsi="Times New Roman" w:hint="eastAsia"/>
          <w:sz w:val="20"/>
          <w:szCs w:val="20"/>
        </w:rPr>
        <w:t>基金管理委員會</w:t>
      </w:r>
      <w:r w:rsidRPr="003E0D6D">
        <w:rPr>
          <w:rFonts w:ascii="Times New Roman" w:eastAsia="標楷體" w:hAnsi="Times New Roman"/>
          <w:sz w:val="20"/>
          <w:szCs w:val="20"/>
        </w:rPr>
        <w:t>通過（</w:t>
      </w:r>
      <w:r w:rsidRPr="003E0D6D">
        <w:rPr>
          <w:rFonts w:ascii="Times New Roman" w:eastAsia="標楷體" w:hAnsi="Times New Roman"/>
          <w:sz w:val="20"/>
          <w:szCs w:val="20"/>
        </w:rPr>
        <w:t>10</w:t>
      </w:r>
      <w:r>
        <w:rPr>
          <w:rFonts w:ascii="Times New Roman" w:eastAsia="標楷體" w:hAnsi="Times New Roman" w:hint="eastAsia"/>
          <w:sz w:val="20"/>
          <w:szCs w:val="20"/>
        </w:rPr>
        <w:t>2</w:t>
      </w:r>
      <w:r w:rsidRPr="003E0D6D">
        <w:rPr>
          <w:rFonts w:ascii="Times New Roman" w:eastAsia="標楷體" w:hAnsi="Times New Roman"/>
          <w:sz w:val="20"/>
          <w:szCs w:val="20"/>
        </w:rPr>
        <w:t>.</w:t>
      </w:r>
      <w:r>
        <w:rPr>
          <w:rFonts w:ascii="Times New Roman" w:eastAsia="標楷體" w:hAnsi="Times New Roman" w:hint="eastAsia"/>
          <w:sz w:val="20"/>
          <w:szCs w:val="20"/>
        </w:rPr>
        <w:t>11</w:t>
      </w:r>
      <w:r w:rsidRPr="003E0D6D">
        <w:rPr>
          <w:rFonts w:ascii="Times New Roman" w:eastAsia="標楷體" w:hAnsi="Times New Roman"/>
          <w:sz w:val="20"/>
          <w:szCs w:val="20"/>
        </w:rPr>
        <w:t>.</w:t>
      </w:r>
      <w:r>
        <w:rPr>
          <w:rFonts w:ascii="Times New Roman" w:eastAsia="標楷體" w:hAnsi="Times New Roman" w:hint="eastAsia"/>
          <w:sz w:val="20"/>
          <w:szCs w:val="20"/>
        </w:rPr>
        <w:t>29</w:t>
      </w:r>
      <w:r w:rsidRPr="003E0D6D">
        <w:rPr>
          <w:rFonts w:ascii="Times New Roman" w:eastAsia="標楷體" w:hAnsi="Times New Roman"/>
          <w:sz w:val="20"/>
          <w:szCs w:val="20"/>
        </w:rPr>
        <w:t>）</w:t>
      </w:r>
    </w:p>
    <w:p w:rsidR="00214ABA" w:rsidRPr="00214ABA" w:rsidRDefault="00214ABA" w:rsidP="00214ABA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  <w:u w:val="single"/>
        </w:rPr>
      </w:pPr>
      <w:r w:rsidRPr="00214ABA">
        <w:rPr>
          <w:rFonts w:ascii="Times New Roman" w:eastAsia="標楷體" w:hAnsi="Times New Roman"/>
          <w:sz w:val="20"/>
          <w:szCs w:val="20"/>
          <w:u w:val="single"/>
        </w:rPr>
        <w:t>一</w:t>
      </w:r>
      <w:r w:rsidRPr="00214ABA">
        <w:rPr>
          <w:rFonts w:ascii="Times New Roman" w:eastAsia="標楷體" w:hAnsi="Times New Roman"/>
          <w:sz w:val="20"/>
          <w:szCs w:val="20"/>
          <w:u w:val="single"/>
        </w:rPr>
        <w:t>○</w:t>
      </w:r>
      <w:r w:rsidRPr="00214ABA">
        <w:rPr>
          <w:rFonts w:ascii="Times New Roman" w:eastAsia="標楷體" w:hAnsi="Times New Roman" w:hint="eastAsia"/>
          <w:sz w:val="20"/>
          <w:szCs w:val="20"/>
          <w:u w:val="single"/>
        </w:rPr>
        <w:t>四</w:t>
      </w:r>
      <w:r w:rsidRPr="00214ABA">
        <w:rPr>
          <w:rFonts w:ascii="Times New Roman" w:eastAsia="標楷體" w:hAnsi="Times New Roman"/>
          <w:sz w:val="20"/>
          <w:szCs w:val="20"/>
          <w:u w:val="single"/>
        </w:rPr>
        <w:t>學年度第</w:t>
      </w:r>
      <w:r w:rsidRPr="00214ABA">
        <w:rPr>
          <w:rFonts w:ascii="Times New Roman" w:eastAsia="標楷體" w:hAnsi="Times New Roman" w:hint="eastAsia"/>
          <w:sz w:val="20"/>
          <w:szCs w:val="20"/>
          <w:u w:val="single"/>
        </w:rPr>
        <w:t>二</w:t>
      </w:r>
      <w:r w:rsidRPr="00214ABA">
        <w:rPr>
          <w:rFonts w:ascii="Times New Roman" w:eastAsia="標楷體" w:hAnsi="Times New Roman" w:hint="eastAsia"/>
          <w:sz w:val="20"/>
          <w:szCs w:val="20"/>
          <w:u w:val="single"/>
        </w:rPr>
        <w:t>學期研究發展會議</w:t>
      </w:r>
      <w:r w:rsidRPr="00214ABA">
        <w:rPr>
          <w:rFonts w:ascii="Times New Roman" w:eastAsia="標楷體" w:hAnsi="Times New Roman"/>
          <w:sz w:val="20"/>
          <w:szCs w:val="20"/>
          <w:u w:val="single"/>
        </w:rPr>
        <w:t>通過（</w:t>
      </w:r>
      <w:r w:rsidRPr="00214ABA">
        <w:rPr>
          <w:rFonts w:ascii="Times New Roman" w:eastAsia="標楷體" w:hAnsi="Times New Roman"/>
          <w:sz w:val="20"/>
          <w:szCs w:val="20"/>
          <w:u w:val="single"/>
        </w:rPr>
        <w:t>10</w:t>
      </w:r>
      <w:r w:rsidRPr="00214ABA">
        <w:rPr>
          <w:rFonts w:ascii="Times New Roman" w:eastAsia="標楷體" w:hAnsi="Times New Roman" w:hint="eastAsia"/>
          <w:sz w:val="20"/>
          <w:szCs w:val="20"/>
          <w:u w:val="single"/>
        </w:rPr>
        <w:t>5.03.04</w:t>
      </w:r>
      <w:r w:rsidRPr="00214ABA">
        <w:rPr>
          <w:rFonts w:ascii="Times New Roman" w:eastAsia="標楷體" w:hAnsi="Times New Roman"/>
          <w:sz w:val="20"/>
          <w:szCs w:val="20"/>
          <w:u w:val="single"/>
        </w:rPr>
        <w:t>）</w:t>
      </w:r>
    </w:p>
    <w:p w:rsidR="004D01DE" w:rsidRPr="003E0D6D" w:rsidRDefault="004D01DE" w:rsidP="004D01DE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4D01DE" w:rsidRPr="004D01DE" w:rsidRDefault="004D01DE" w:rsidP="004D01DE">
      <w:pPr>
        <w:numPr>
          <w:ilvl w:val="0"/>
          <w:numId w:val="10"/>
        </w:numPr>
        <w:spacing w:beforeLines="50" w:before="180" w:afterLines="50" w:after="180" w:line="0" w:lineRule="atLeast"/>
        <w:ind w:hanging="1124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本校為延攬傑出教研人員應聘來校從事學術研究與教學，提升本校學術水準，特訂定「國立中央大學新聘傑出教研人員獎勵辦法」（以下簡稱本辦法）。</w:t>
      </w:r>
    </w:p>
    <w:p w:rsidR="004D01DE" w:rsidRPr="00214ABA" w:rsidRDefault="004D01DE" w:rsidP="004D01DE">
      <w:pPr>
        <w:numPr>
          <w:ilvl w:val="0"/>
          <w:numId w:val="10"/>
        </w:numPr>
        <w:spacing w:beforeLines="50" w:before="180" w:afterLines="50" w:after="180" w:line="0" w:lineRule="atLeast"/>
        <w:ind w:left="851" w:hanging="1077"/>
        <w:rPr>
          <w:rFonts w:ascii="標楷體" w:eastAsia="標楷體" w:hAnsi="標楷體"/>
          <w:sz w:val="26"/>
          <w:szCs w:val="26"/>
          <w:u w:val="single"/>
        </w:rPr>
      </w:pPr>
      <w:r w:rsidRPr="004D01DE">
        <w:rPr>
          <w:rFonts w:ascii="標楷體" w:eastAsia="標楷體" w:hAnsi="標楷體" w:hint="eastAsia"/>
          <w:sz w:val="26"/>
          <w:szCs w:val="26"/>
        </w:rPr>
        <w:t>本辦法之經費來源為</w:t>
      </w:r>
      <w:r w:rsidR="001528F9" w:rsidRPr="00214ABA">
        <w:rPr>
          <w:rFonts w:ascii="標楷體" w:eastAsia="標楷體" w:hAnsi="標楷體" w:hint="eastAsia"/>
          <w:sz w:val="26"/>
          <w:szCs w:val="26"/>
          <w:u w:val="single"/>
        </w:rPr>
        <w:t>本校</w:t>
      </w:r>
      <w:r w:rsidRPr="00214ABA">
        <w:rPr>
          <w:rFonts w:ascii="標楷體" w:eastAsia="標楷體" w:hAnsi="標楷體" w:hint="eastAsia"/>
          <w:sz w:val="26"/>
          <w:szCs w:val="26"/>
          <w:u w:val="single"/>
        </w:rPr>
        <w:t>自籌收入</w:t>
      </w:r>
      <w:r w:rsidR="00F42D2F" w:rsidRPr="00214ABA">
        <w:rPr>
          <w:rFonts w:ascii="標楷體" w:eastAsia="標楷體" w:hAnsi="標楷體" w:hint="eastAsia"/>
          <w:sz w:val="26"/>
          <w:szCs w:val="26"/>
          <w:u w:val="single"/>
        </w:rPr>
        <w:t>及政府其他補助</w:t>
      </w:r>
      <w:r w:rsidRPr="00214ABA">
        <w:rPr>
          <w:rFonts w:ascii="標楷體" w:eastAsia="標楷體" w:hAnsi="標楷體" w:hint="eastAsia"/>
          <w:sz w:val="26"/>
          <w:szCs w:val="26"/>
          <w:u w:val="single"/>
        </w:rPr>
        <w:t>收入。</w:t>
      </w:r>
    </w:p>
    <w:p w:rsidR="004D01DE" w:rsidRPr="004D01DE" w:rsidRDefault="004D01DE" w:rsidP="004D01DE">
      <w:pPr>
        <w:numPr>
          <w:ilvl w:val="0"/>
          <w:numId w:val="10"/>
        </w:numPr>
        <w:spacing w:beforeLines="50" w:before="180" w:afterLines="50" w:after="180" w:line="0" w:lineRule="atLeast"/>
        <w:ind w:left="851" w:hanging="1077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獎勵對象為本校第一次聘任之編制內專任教研人員，正式納編時年齡應在五十五歲以</w:t>
      </w:r>
      <w:bookmarkStart w:id="0" w:name="_GoBack"/>
      <w:bookmarkEnd w:id="0"/>
      <w:r w:rsidRPr="004D01DE">
        <w:rPr>
          <w:rFonts w:ascii="標楷體" w:eastAsia="標楷體" w:hAnsi="標楷體" w:hint="eastAsia"/>
          <w:sz w:val="26"/>
          <w:szCs w:val="26"/>
        </w:rPr>
        <w:t>下，且符合下列資格之</w:t>
      </w:r>
      <w:proofErr w:type="gramStart"/>
      <w:r w:rsidRPr="004D01D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4D01DE">
        <w:rPr>
          <w:rFonts w:ascii="標楷體" w:eastAsia="標楷體" w:hAnsi="標楷體" w:hint="eastAsia"/>
          <w:sz w:val="26"/>
          <w:szCs w:val="26"/>
        </w:rPr>
        <w:t>者，於應聘前一年及到職後一年內得申請本獎勵：</w:t>
      </w:r>
    </w:p>
    <w:p w:rsidR="004D01DE" w:rsidRPr="004D01DE" w:rsidRDefault="004D01DE" w:rsidP="004D01DE">
      <w:pPr>
        <w:spacing w:beforeLines="50" w:before="180" w:line="0" w:lineRule="atLeast"/>
        <w:ind w:left="720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一、</w:t>
      </w:r>
      <w:proofErr w:type="gramStart"/>
      <w:r w:rsidRPr="004D01DE">
        <w:rPr>
          <w:rFonts w:ascii="標楷體" w:eastAsia="標楷體" w:hAnsi="標楷體" w:hint="eastAsia"/>
          <w:sz w:val="26"/>
          <w:szCs w:val="26"/>
        </w:rPr>
        <w:t>非曾任</w:t>
      </w:r>
      <w:proofErr w:type="gramEnd"/>
      <w:r w:rsidRPr="004D01DE">
        <w:rPr>
          <w:rFonts w:ascii="標楷體" w:eastAsia="標楷體" w:hAnsi="標楷體" w:hint="eastAsia"/>
          <w:sz w:val="26"/>
          <w:szCs w:val="26"/>
        </w:rPr>
        <w:t>或非現任國內其他學術研究機構編制內之專任教研人員。</w:t>
      </w:r>
    </w:p>
    <w:p w:rsidR="004D01DE" w:rsidRPr="004D01DE" w:rsidRDefault="004D01DE" w:rsidP="004D01DE">
      <w:pPr>
        <w:tabs>
          <w:tab w:val="num" w:pos="1080"/>
        </w:tabs>
        <w:spacing w:beforeLines="50" w:before="180" w:line="0" w:lineRule="atLeast"/>
        <w:ind w:left="720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二、於本校正式納編前五年間均任職於國外學術研究機構。</w:t>
      </w:r>
    </w:p>
    <w:p w:rsidR="004D01DE" w:rsidRPr="004D01DE" w:rsidRDefault="004D01DE" w:rsidP="004D01DE">
      <w:pPr>
        <w:spacing w:before="50" w:line="0" w:lineRule="atLeast"/>
        <w:rPr>
          <w:rFonts w:ascii="標楷體" w:eastAsia="標楷體" w:hAnsi="標楷體"/>
          <w:color w:val="FF0000"/>
          <w:sz w:val="26"/>
          <w:szCs w:val="26"/>
        </w:rPr>
      </w:pPr>
    </w:p>
    <w:p w:rsidR="004D01DE" w:rsidRPr="004D01DE" w:rsidRDefault="004D01DE" w:rsidP="004D01DE">
      <w:pPr>
        <w:spacing w:before="50" w:line="0" w:lineRule="atLeast"/>
        <w:ind w:leftChars="-59" w:left="-142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第三條之</w:t>
      </w:r>
      <w:proofErr w:type="gramStart"/>
      <w:r w:rsidRPr="004D01D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4D01DE">
        <w:rPr>
          <w:rFonts w:ascii="標楷體" w:eastAsia="標楷體" w:hAnsi="標楷體" w:hint="eastAsia"/>
          <w:sz w:val="26"/>
          <w:szCs w:val="26"/>
        </w:rPr>
        <w:t xml:space="preserve">  審核項目</w:t>
      </w:r>
    </w:p>
    <w:p w:rsidR="004D01DE" w:rsidRPr="004D01DE" w:rsidRDefault="004D01DE" w:rsidP="004D01DE">
      <w:pPr>
        <w:spacing w:before="50" w:line="0" w:lineRule="atLeast"/>
        <w:ind w:leftChars="450" w:left="1600" w:hangingChars="200" w:hanging="520"/>
        <w:rPr>
          <w:rFonts w:ascii="Times New Roman" w:eastAsia="標楷體" w:hAnsi="標楷體"/>
          <w:sz w:val="26"/>
          <w:szCs w:val="26"/>
        </w:rPr>
      </w:pPr>
      <w:r w:rsidRPr="004D01DE">
        <w:rPr>
          <w:rFonts w:ascii="Times New Roman" w:eastAsia="標楷體" w:hAnsi="標楷體" w:hint="eastAsia"/>
          <w:sz w:val="26"/>
          <w:szCs w:val="26"/>
        </w:rPr>
        <w:t>一、獲國際級重要獎項，或獲國家級獎項。</w:t>
      </w:r>
    </w:p>
    <w:p w:rsidR="004D01DE" w:rsidRPr="004D01DE" w:rsidRDefault="004D01DE" w:rsidP="004D01DE">
      <w:pPr>
        <w:spacing w:before="50" w:line="0" w:lineRule="atLeast"/>
        <w:ind w:leftChars="450" w:left="1600" w:hangingChars="200" w:hanging="520"/>
        <w:rPr>
          <w:rFonts w:ascii="Times New Roman" w:eastAsia="標楷體" w:hAnsi="標楷體"/>
          <w:sz w:val="26"/>
          <w:szCs w:val="26"/>
        </w:rPr>
      </w:pPr>
      <w:r w:rsidRPr="004D01DE">
        <w:rPr>
          <w:rFonts w:ascii="Times New Roman" w:eastAsia="標楷體" w:hAnsi="標楷體" w:hint="eastAsia"/>
          <w:sz w:val="26"/>
          <w:szCs w:val="26"/>
        </w:rPr>
        <w:t>二</w:t>
      </w:r>
      <w:proofErr w:type="gramStart"/>
      <w:r w:rsidRPr="004D01DE">
        <w:rPr>
          <w:rFonts w:ascii="Times New Roman" w:eastAsia="標楷體" w:hAnsi="標楷體" w:hint="eastAsia"/>
          <w:sz w:val="26"/>
          <w:szCs w:val="26"/>
        </w:rPr>
        <w:t>、著</w:t>
      </w:r>
      <w:proofErr w:type="gramEnd"/>
      <w:r w:rsidRPr="004D01DE">
        <w:rPr>
          <w:rFonts w:ascii="Times New Roman" w:eastAsia="標楷體" w:hAnsi="標楷體" w:hint="eastAsia"/>
          <w:sz w:val="26"/>
          <w:szCs w:val="26"/>
        </w:rPr>
        <w:t>有重大學術貢獻之期刊論文或專書。</w:t>
      </w:r>
    </w:p>
    <w:p w:rsidR="004D01DE" w:rsidRPr="004D01DE" w:rsidRDefault="004D01DE" w:rsidP="004D01DE">
      <w:pPr>
        <w:spacing w:before="50" w:line="0" w:lineRule="atLeast"/>
        <w:ind w:leftChars="450" w:left="1600" w:hangingChars="200" w:hanging="520"/>
        <w:rPr>
          <w:rFonts w:ascii="Times New Roman" w:eastAsia="標楷體" w:hAnsi="標楷體"/>
          <w:sz w:val="26"/>
          <w:szCs w:val="26"/>
        </w:rPr>
      </w:pPr>
      <w:r w:rsidRPr="004D01DE">
        <w:rPr>
          <w:rFonts w:ascii="Times New Roman" w:eastAsia="標楷體" w:hAnsi="標楷體" w:hint="eastAsia"/>
          <w:sz w:val="26"/>
          <w:szCs w:val="26"/>
        </w:rPr>
        <w:t>三、產學合作成果優異，並將研究成果轉移於產業界，獲致重大貢獻。</w:t>
      </w:r>
    </w:p>
    <w:p w:rsidR="004D01DE" w:rsidRPr="004D01DE" w:rsidRDefault="004D01DE" w:rsidP="004D01DE">
      <w:pPr>
        <w:spacing w:before="50" w:line="0" w:lineRule="atLeast"/>
        <w:ind w:leftChars="450" w:left="1600" w:hangingChars="200" w:hanging="520"/>
        <w:rPr>
          <w:rFonts w:ascii="標楷體" w:eastAsia="標楷體" w:hAnsi="標楷體"/>
          <w:sz w:val="26"/>
          <w:szCs w:val="26"/>
        </w:rPr>
      </w:pPr>
      <w:r w:rsidRPr="004D01DE">
        <w:rPr>
          <w:rFonts w:ascii="Times New Roman" w:eastAsia="標楷體" w:hAnsi="標楷體" w:hint="eastAsia"/>
          <w:sz w:val="26"/>
          <w:szCs w:val="26"/>
        </w:rPr>
        <w:t>四、在國內外學術組織擔任重要職務或獲頒授重要獎項，且具</w:t>
      </w:r>
      <w:r w:rsidRPr="004D01DE">
        <w:rPr>
          <w:rFonts w:ascii="標楷體" w:eastAsia="標楷體" w:hAnsi="標楷體" w:hint="eastAsia"/>
          <w:sz w:val="26"/>
          <w:szCs w:val="26"/>
        </w:rPr>
        <w:t>傑出學術成果。</w:t>
      </w:r>
    </w:p>
    <w:p w:rsidR="004D01DE" w:rsidRPr="004D01DE" w:rsidRDefault="004D01DE" w:rsidP="004D01DE">
      <w:pPr>
        <w:numPr>
          <w:ilvl w:val="0"/>
          <w:numId w:val="10"/>
        </w:numPr>
        <w:spacing w:beforeLines="50" w:before="180" w:line="0" w:lineRule="atLeast"/>
        <w:ind w:hanging="982"/>
        <w:rPr>
          <w:rFonts w:ascii="Times New Roman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本獎勵由系（所）及院(中心)</w:t>
      </w:r>
      <w:r w:rsidRPr="004D01DE">
        <w:rPr>
          <w:rFonts w:ascii="Times New Roman" w:hAnsi="Times New Roman" w:hint="eastAsia"/>
          <w:sz w:val="26"/>
          <w:szCs w:val="26"/>
        </w:rPr>
        <w:t xml:space="preserve"> </w:t>
      </w:r>
      <w:r w:rsidRPr="004D01DE">
        <w:rPr>
          <w:rFonts w:ascii="標楷體" w:eastAsia="標楷體" w:hAnsi="標楷體" w:hint="eastAsia"/>
          <w:sz w:val="26"/>
          <w:szCs w:val="26"/>
        </w:rPr>
        <w:t>於每年6月、12月底前，檢附推薦申請表、系（所）院(中心)教評會推薦之會議紀錄及下列資料向研發處提出。</w:t>
      </w:r>
    </w:p>
    <w:p w:rsidR="004D01DE" w:rsidRPr="004D01DE" w:rsidRDefault="004D01DE" w:rsidP="004D01DE">
      <w:pPr>
        <w:spacing w:beforeLines="50" w:before="180" w:line="0" w:lineRule="atLeast"/>
        <w:ind w:left="1080"/>
        <w:rPr>
          <w:rFonts w:ascii="Times New Roman" w:eastAsia="標楷體" w:hAnsi="標楷體"/>
          <w:sz w:val="26"/>
          <w:szCs w:val="26"/>
        </w:rPr>
      </w:pPr>
      <w:r w:rsidRPr="004D01DE">
        <w:rPr>
          <w:rFonts w:ascii="Times New Roman" w:eastAsia="標楷體" w:hAnsi="標楷體" w:hint="eastAsia"/>
          <w:sz w:val="26"/>
          <w:szCs w:val="26"/>
        </w:rPr>
        <w:t>一、個人基本資料表。</w:t>
      </w:r>
    </w:p>
    <w:p w:rsidR="004D01DE" w:rsidRPr="004D01DE" w:rsidRDefault="004D01DE" w:rsidP="004D01DE">
      <w:pPr>
        <w:spacing w:before="50" w:line="0" w:lineRule="atLeast"/>
        <w:ind w:leftChars="450" w:left="1600" w:hangingChars="200" w:hanging="520"/>
        <w:rPr>
          <w:rFonts w:ascii="Times New Roman" w:eastAsia="標楷體" w:hAnsi="標楷體"/>
          <w:sz w:val="26"/>
          <w:szCs w:val="26"/>
        </w:rPr>
      </w:pPr>
      <w:r w:rsidRPr="004D01DE">
        <w:rPr>
          <w:rFonts w:ascii="Times New Roman" w:eastAsia="標楷體" w:hAnsi="標楷體" w:hint="eastAsia"/>
          <w:sz w:val="26"/>
          <w:szCs w:val="26"/>
        </w:rPr>
        <w:t>二、著作目錄。</w:t>
      </w:r>
    </w:p>
    <w:p w:rsidR="004D01DE" w:rsidRPr="004D01DE" w:rsidRDefault="004D01DE" w:rsidP="004D01DE">
      <w:pPr>
        <w:spacing w:before="50" w:line="0" w:lineRule="atLeast"/>
        <w:ind w:leftChars="450" w:left="1600" w:hangingChars="200" w:hanging="520"/>
        <w:rPr>
          <w:rFonts w:ascii="Times New Roman" w:eastAsia="標楷體" w:hAnsi="標楷體"/>
          <w:sz w:val="26"/>
          <w:szCs w:val="26"/>
        </w:rPr>
      </w:pPr>
      <w:r w:rsidRPr="004D01DE">
        <w:rPr>
          <w:rFonts w:ascii="Times New Roman" w:eastAsia="標楷體" w:hAnsi="標楷體" w:hint="eastAsia"/>
          <w:sz w:val="26"/>
          <w:szCs w:val="26"/>
        </w:rPr>
        <w:lastRenderedPageBreak/>
        <w:t>三、研究成果簡述。</w:t>
      </w:r>
    </w:p>
    <w:p w:rsidR="004D01DE" w:rsidRPr="004D01DE" w:rsidRDefault="004D01DE" w:rsidP="004D01DE">
      <w:pPr>
        <w:spacing w:before="50" w:line="0" w:lineRule="atLeast"/>
        <w:ind w:leftChars="450" w:left="1600" w:hangingChars="200" w:hanging="520"/>
        <w:rPr>
          <w:rFonts w:ascii="Times New Roman" w:eastAsia="標楷體" w:hAnsi="標楷體"/>
          <w:sz w:val="26"/>
          <w:szCs w:val="26"/>
        </w:rPr>
      </w:pPr>
      <w:r w:rsidRPr="004D01DE">
        <w:rPr>
          <w:rFonts w:ascii="Times New Roman" w:eastAsia="標楷體" w:hAnsi="標楷體" w:hint="eastAsia"/>
          <w:sz w:val="26"/>
          <w:szCs w:val="26"/>
        </w:rPr>
        <w:t>四、曾獲特殊榮譽、獲頒特殊獎勵之證明文件影本。</w:t>
      </w:r>
    </w:p>
    <w:p w:rsidR="004D01DE" w:rsidRPr="004D01DE" w:rsidRDefault="004D01DE" w:rsidP="004D01DE">
      <w:pPr>
        <w:numPr>
          <w:ilvl w:val="0"/>
          <w:numId w:val="10"/>
        </w:numPr>
        <w:tabs>
          <w:tab w:val="num" w:pos="1080"/>
        </w:tabs>
        <w:spacing w:beforeLines="50" w:before="180" w:line="0" w:lineRule="atLeast"/>
        <w:ind w:left="1077" w:hanging="1077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 xml:space="preserve"> 本獎勵推薦案或相關議案由「研究獎勵審議委員會」(以下簡稱委員會)審議之，委員會設置辦法另訂之。</w:t>
      </w:r>
    </w:p>
    <w:p w:rsidR="004D01DE" w:rsidRPr="004D01DE" w:rsidRDefault="004D01DE" w:rsidP="004D01DE">
      <w:pPr>
        <w:spacing w:before="50" w:line="0" w:lineRule="atLeast"/>
        <w:rPr>
          <w:rFonts w:ascii="標楷體" w:eastAsia="標楷體" w:hAnsi="標楷體"/>
          <w:sz w:val="26"/>
          <w:szCs w:val="26"/>
        </w:rPr>
      </w:pPr>
      <w:r w:rsidRPr="00551592">
        <w:rPr>
          <w:rFonts w:ascii="標楷體" w:eastAsia="標楷體" w:hAnsi="標楷體" w:hint="eastAsia"/>
          <w:sz w:val="26"/>
          <w:szCs w:val="26"/>
          <w:highlight w:val="lightGray"/>
        </w:rPr>
        <w:t>第六條</w:t>
      </w:r>
      <w:r w:rsidRPr="004D01DE">
        <w:rPr>
          <w:rFonts w:ascii="標楷體" w:eastAsia="標楷體" w:hAnsi="標楷體" w:hint="eastAsia"/>
          <w:sz w:val="26"/>
          <w:szCs w:val="26"/>
        </w:rPr>
        <w:t>本獎金額度及發放方式依獎金審議委員會決議辦理：</w:t>
      </w:r>
    </w:p>
    <w:p w:rsidR="004D01DE" w:rsidRPr="004D01DE" w:rsidRDefault="004D01DE" w:rsidP="004D01DE">
      <w:pPr>
        <w:numPr>
          <w:ilvl w:val="0"/>
          <w:numId w:val="15"/>
        </w:numPr>
        <w:tabs>
          <w:tab w:val="left" w:pos="993"/>
          <w:tab w:val="left" w:pos="1134"/>
          <w:tab w:val="left" w:pos="1560"/>
        </w:tabs>
        <w:spacing w:before="50" w:line="0" w:lineRule="atLeast"/>
        <w:ind w:left="1440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教授(研究員)：每月獎勵額度以不超過新台幣8萬元為原則。</w:t>
      </w:r>
    </w:p>
    <w:p w:rsidR="004D01DE" w:rsidRPr="004D01DE" w:rsidRDefault="004D01DE" w:rsidP="004D01DE">
      <w:pPr>
        <w:numPr>
          <w:ilvl w:val="0"/>
          <w:numId w:val="15"/>
        </w:numPr>
        <w:tabs>
          <w:tab w:val="left" w:pos="993"/>
          <w:tab w:val="left" w:pos="1134"/>
          <w:tab w:val="left" w:pos="1560"/>
        </w:tabs>
        <w:spacing w:before="50" w:line="0" w:lineRule="atLeast"/>
        <w:ind w:left="1440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副教授(副研究員)：每月獎勵額度以不超過6萬元為原則。</w:t>
      </w:r>
    </w:p>
    <w:p w:rsidR="004D01DE" w:rsidRPr="004D01DE" w:rsidRDefault="004D01DE" w:rsidP="004D01DE">
      <w:pPr>
        <w:numPr>
          <w:ilvl w:val="0"/>
          <w:numId w:val="15"/>
        </w:numPr>
        <w:tabs>
          <w:tab w:val="left" w:pos="993"/>
          <w:tab w:val="left" w:pos="1134"/>
          <w:tab w:val="left" w:pos="1560"/>
        </w:tabs>
        <w:spacing w:before="50" w:line="0" w:lineRule="atLeast"/>
        <w:ind w:left="1440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助理教授(助理研究員)：每月獎勵額度以不超過3萬元為原則。</w:t>
      </w:r>
    </w:p>
    <w:p w:rsidR="004D01DE" w:rsidRPr="004D01DE" w:rsidRDefault="004D01DE" w:rsidP="004D01DE">
      <w:pPr>
        <w:numPr>
          <w:ilvl w:val="0"/>
          <w:numId w:val="15"/>
        </w:numPr>
        <w:tabs>
          <w:tab w:val="left" w:pos="993"/>
          <w:tab w:val="left" w:pos="1134"/>
          <w:tab w:val="left" w:pos="1560"/>
        </w:tabs>
        <w:spacing w:before="50" w:line="0" w:lineRule="atLeast"/>
        <w:ind w:left="1440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延攬國內外特殊優異學者其獎金由委員會另行議定。</w:t>
      </w:r>
    </w:p>
    <w:p w:rsidR="004D01DE" w:rsidRPr="004D01DE" w:rsidRDefault="004D01DE" w:rsidP="004D01DE">
      <w:pPr>
        <w:spacing w:before="50" w:line="0" w:lineRule="atLeast"/>
        <w:ind w:leftChars="300" w:left="720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本獎勵期間最長三年，將視前一年度績效成果報告考評，為當年度敘獎之依據。</w:t>
      </w:r>
    </w:p>
    <w:p w:rsidR="004D01DE" w:rsidRPr="004D01DE" w:rsidRDefault="004D01DE" w:rsidP="004D01DE">
      <w:pPr>
        <w:spacing w:before="50" w:line="0" w:lineRule="atLeast"/>
        <w:ind w:leftChars="300" w:left="720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經費來源為捐贈者，得依本校「國立中央大學校務基金接受捐贈辦法」中之指定運用項目，依捐贈者指定分次撥付。</w:t>
      </w:r>
    </w:p>
    <w:p w:rsidR="004D01DE" w:rsidRPr="004D01DE" w:rsidRDefault="004D01DE" w:rsidP="004D01DE">
      <w:pPr>
        <w:spacing w:before="50" w:line="0" w:lineRule="atLeas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>第七條 獲獎人應於到職後，始得領取獎金，於獎勵期間離職或退休者，應終止獎勵；留職停薪及借調者，待復職及歸建後，</w:t>
      </w:r>
      <w:proofErr w:type="gramStart"/>
      <w:r w:rsidRPr="004D01DE">
        <w:rPr>
          <w:rFonts w:ascii="標楷體" w:eastAsia="標楷體" w:hAnsi="標楷體" w:hint="eastAsia"/>
          <w:sz w:val="26"/>
          <w:szCs w:val="26"/>
        </w:rPr>
        <w:t>於復薪之</w:t>
      </w:r>
      <w:proofErr w:type="gramEnd"/>
      <w:r w:rsidRPr="004D01DE">
        <w:rPr>
          <w:rFonts w:ascii="標楷體" w:eastAsia="標楷體" w:hAnsi="標楷體" w:hint="eastAsia"/>
          <w:sz w:val="26"/>
          <w:szCs w:val="26"/>
        </w:rPr>
        <w:t>日起繼續支給</w:t>
      </w:r>
      <w:proofErr w:type="gramStart"/>
      <w:r w:rsidRPr="004D01DE">
        <w:rPr>
          <w:rFonts w:ascii="標楷體" w:eastAsia="標楷體" w:hAnsi="標楷體" w:hint="eastAsia"/>
          <w:sz w:val="26"/>
          <w:szCs w:val="26"/>
        </w:rPr>
        <w:t>獎勵金至獎勵</w:t>
      </w:r>
      <w:proofErr w:type="gramEnd"/>
      <w:r w:rsidRPr="004D01DE">
        <w:rPr>
          <w:rFonts w:ascii="標楷體" w:eastAsia="標楷體" w:hAnsi="標楷體" w:hint="eastAsia"/>
          <w:sz w:val="26"/>
          <w:szCs w:val="26"/>
        </w:rPr>
        <w:t>期滿日止。獲外校講座，或獲其他校外獎勵須暫停本獎勵金撥付者，待到期之處理原則亦同。</w:t>
      </w:r>
    </w:p>
    <w:p w:rsidR="004D01DE" w:rsidRPr="004D01DE" w:rsidRDefault="004D01DE" w:rsidP="004D01DE">
      <w:pPr>
        <w:spacing w:before="50" w:line="0" w:lineRule="atLeast"/>
        <w:ind w:left="850" w:hangingChars="327" w:hanging="850"/>
        <w:rPr>
          <w:rFonts w:ascii="Times New Roman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 xml:space="preserve">      已獲聘為本校講座或獲其他研究獎勵者，應擇</w:t>
      </w:r>
      <w:proofErr w:type="gramStart"/>
      <w:r w:rsidRPr="004D01D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4D01DE">
        <w:rPr>
          <w:rFonts w:ascii="標楷體" w:eastAsia="標楷體" w:hAnsi="標楷體" w:hint="eastAsia"/>
          <w:sz w:val="26"/>
          <w:szCs w:val="26"/>
        </w:rPr>
        <w:t xml:space="preserve">領取獎金。 </w:t>
      </w:r>
      <w:r w:rsidRPr="004D01DE">
        <w:rPr>
          <w:rFonts w:ascii="Times New Roman" w:eastAsia="標楷體" w:hAnsi="標楷體" w:hint="eastAsia"/>
          <w:sz w:val="26"/>
          <w:szCs w:val="26"/>
        </w:rPr>
        <w:t xml:space="preserve"> </w:t>
      </w:r>
    </w:p>
    <w:p w:rsidR="004D01DE" w:rsidRPr="004D01DE" w:rsidRDefault="004D01DE" w:rsidP="004D01DE">
      <w:pPr>
        <w:spacing w:before="50" w:line="0" w:lineRule="atLeas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4D01DE">
        <w:rPr>
          <w:rFonts w:ascii="Times New Roman" w:eastAsia="標楷體" w:hAnsi="標楷體" w:hint="eastAsia"/>
          <w:sz w:val="26"/>
          <w:szCs w:val="26"/>
        </w:rPr>
        <w:t xml:space="preserve">      </w:t>
      </w:r>
      <w:r w:rsidRPr="004D01DE">
        <w:rPr>
          <w:rFonts w:ascii="Times New Roman" w:eastAsia="標楷體" w:hAnsi="標楷體" w:hint="eastAsia"/>
          <w:sz w:val="26"/>
          <w:szCs w:val="26"/>
        </w:rPr>
        <w:t>獲本辦法獎勵者，每年皆應提交績效成果報告至委員會參處。</w:t>
      </w:r>
    </w:p>
    <w:p w:rsidR="004D01DE" w:rsidRPr="004D01DE" w:rsidRDefault="004D01DE" w:rsidP="004D01DE">
      <w:pPr>
        <w:numPr>
          <w:ilvl w:val="0"/>
          <w:numId w:val="12"/>
        </w:numPr>
        <w:tabs>
          <w:tab w:val="num" w:pos="1080"/>
        </w:tabs>
        <w:spacing w:beforeLines="50" w:before="180" w:line="0" w:lineRule="atLeast"/>
        <w:ind w:left="1077" w:hanging="1077"/>
        <w:rPr>
          <w:rFonts w:ascii="標楷體" w:eastAsia="標楷體" w:hAnsi="標楷體"/>
          <w:sz w:val="26"/>
          <w:szCs w:val="26"/>
        </w:rPr>
      </w:pPr>
      <w:r w:rsidRPr="004D01DE">
        <w:rPr>
          <w:rFonts w:ascii="標楷體" w:eastAsia="標楷體" w:hAnsi="標楷體" w:hint="eastAsia"/>
          <w:sz w:val="26"/>
          <w:szCs w:val="26"/>
        </w:rPr>
        <w:t xml:space="preserve"> 本辦法經研究發展會議通過，送校務基金管理委員會通過後實施，修正時亦同。</w:t>
      </w:r>
    </w:p>
    <w:p w:rsidR="003E0D6D" w:rsidRPr="004D01DE" w:rsidRDefault="003E0D6D" w:rsidP="004D01DE">
      <w:pPr>
        <w:jc w:val="center"/>
        <w:rPr>
          <w:rFonts w:ascii="標楷體" w:eastAsia="標楷體" w:hAnsi="標楷體"/>
          <w:szCs w:val="24"/>
        </w:rPr>
      </w:pPr>
    </w:p>
    <w:p w:rsidR="003E0D6D" w:rsidRPr="00D5432A" w:rsidRDefault="003E0D6D" w:rsidP="00342340">
      <w:pPr>
        <w:rPr>
          <w:rFonts w:ascii="標楷體" w:eastAsia="標楷體" w:hAnsi="標楷體"/>
          <w:sz w:val="28"/>
          <w:szCs w:val="28"/>
        </w:rPr>
      </w:pPr>
    </w:p>
    <w:sectPr w:rsidR="003E0D6D" w:rsidRPr="00D5432A" w:rsidSect="00F42D2F">
      <w:pgSz w:w="11906" w:h="16838"/>
      <w:pgMar w:top="1440" w:right="1800" w:bottom="1440" w:left="1800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92" w:rsidRDefault="00551592" w:rsidP="0044449C">
      <w:r>
        <w:separator/>
      </w:r>
    </w:p>
  </w:endnote>
  <w:endnote w:type="continuationSeparator" w:id="0">
    <w:p w:rsidR="00551592" w:rsidRDefault="00551592" w:rsidP="0044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92" w:rsidRDefault="00551592" w:rsidP="0044449C">
      <w:r>
        <w:separator/>
      </w:r>
    </w:p>
  </w:footnote>
  <w:footnote w:type="continuationSeparator" w:id="0">
    <w:p w:rsidR="00551592" w:rsidRDefault="00551592" w:rsidP="0044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1BA8"/>
    <w:multiLevelType w:val="hybridMultilevel"/>
    <w:tmpl w:val="497EB340"/>
    <w:lvl w:ilvl="0" w:tplc="E6F26DD6">
      <w:start w:val="6"/>
      <w:numFmt w:val="taiwaneseCountingThousand"/>
      <w:lvlText w:val="第%1條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704CD0"/>
    <w:multiLevelType w:val="hybridMultilevel"/>
    <w:tmpl w:val="0D26B9B6"/>
    <w:lvl w:ilvl="0" w:tplc="110EC056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0D515E"/>
    <w:multiLevelType w:val="hybridMultilevel"/>
    <w:tmpl w:val="CECAD4CC"/>
    <w:lvl w:ilvl="0" w:tplc="4712D5C2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033012"/>
    <w:multiLevelType w:val="hybridMultilevel"/>
    <w:tmpl w:val="E2E6253E"/>
    <w:lvl w:ilvl="0" w:tplc="1A407E36">
      <w:start w:val="8"/>
      <w:numFmt w:val="taiwaneseCountingThousand"/>
      <w:lvlText w:val="第%1條"/>
      <w:lvlJc w:val="left"/>
      <w:pPr>
        <w:tabs>
          <w:tab w:val="num" w:pos="840"/>
        </w:tabs>
        <w:ind w:left="840" w:hanging="72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8B019F"/>
    <w:multiLevelType w:val="hybridMultilevel"/>
    <w:tmpl w:val="9C144C38"/>
    <w:lvl w:ilvl="0" w:tplc="5F7ECD5E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133BCB"/>
    <w:multiLevelType w:val="hybridMultilevel"/>
    <w:tmpl w:val="450A0FCA"/>
    <w:lvl w:ilvl="0" w:tplc="A33E17DA">
      <w:start w:val="7"/>
      <w:numFmt w:val="taiwaneseCountingThousand"/>
      <w:lvlText w:val="第%1條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3D42DC"/>
    <w:multiLevelType w:val="hybridMultilevel"/>
    <w:tmpl w:val="44363B78"/>
    <w:lvl w:ilvl="0" w:tplc="E4D8F87C">
      <w:start w:val="7"/>
      <w:numFmt w:val="taiwaneseCountingThousand"/>
      <w:lvlText w:val="第%1條"/>
      <w:lvlJc w:val="left"/>
      <w:pPr>
        <w:tabs>
          <w:tab w:val="num" w:pos="840"/>
        </w:tabs>
        <w:ind w:left="840" w:hanging="72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5903BF"/>
    <w:multiLevelType w:val="hybridMultilevel"/>
    <w:tmpl w:val="B95A22C6"/>
    <w:lvl w:ilvl="0" w:tplc="3D10D9C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B91162"/>
    <w:multiLevelType w:val="hybridMultilevel"/>
    <w:tmpl w:val="C010C78E"/>
    <w:lvl w:ilvl="0" w:tplc="6894962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499773E1"/>
    <w:multiLevelType w:val="hybridMultilevel"/>
    <w:tmpl w:val="8F7C01E6"/>
    <w:lvl w:ilvl="0" w:tplc="9A3C9528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6ED7B0">
      <w:start w:val="1"/>
      <w:numFmt w:val="taiwaneseCountingThousand"/>
      <w:lvlText w:val="%2、"/>
      <w:lvlJc w:val="left"/>
      <w:pPr>
        <w:ind w:left="10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320" w:hanging="480"/>
      </w:pPr>
    </w:lvl>
    <w:lvl w:ilvl="3" w:tplc="0409000F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0">
    <w:nsid w:val="4C9D59B4"/>
    <w:multiLevelType w:val="hybridMultilevel"/>
    <w:tmpl w:val="6E16C59E"/>
    <w:lvl w:ilvl="0" w:tplc="CF3239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3082BF9"/>
    <w:multiLevelType w:val="hybridMultilevel"/>
    <w:tmpl w:val="A6AEFD3E"/>
    <w:lvl w:ilvl="0" w:tplc="81947366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14A11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61B7F5E"/>
    <w:multiLevelType w:val="hybridMultilevel"/>
    <w:tmpl w:val="C06EACA0"/>
    <w:lvl w:ilvl="0" w:tplc="2622570A">
      <w:start w:val="6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04342E3"/>
    <w:multiLevelType w:val="hybridMultilevel"/>
    <w:tmpl w:val="8B7ED29A"/>
    <w:lvl w:ilvl="0" w:tplc="9064EE34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2A44273"/>
    <w:multiLevelType w:val="hybridMultilevel"/>
    <w:tmpl w:val="FACE6B6E"/>
    <w:lvl w:ilvl="0" w:tplc="EBDE5B2A">
      <w:start w:val="1"/>
      <w:numFmt w:val="taiwaneseCountingThousand"/>
      <w:lvlText w:val="第%1條"/>
      <w:lvlJc w:val="left"/>
      <w:pPr>
        <w:tabs>
          <w:tab w:val="num" w:pos="840"/>
        </w:tabs>
        <w:ind w:left="840" w:hanging="72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3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32A"/>
    <w:rsid w:val="00016E1A"/>
    <w:rsid w:val="0008728C"/>
    <w:rsid w:val="00093CC5"/>
    <w:rsid w:val="000B22B5"/>
    <w:rsid w:val="000E4BAD"/>
    <w:rsid w:val="00116DDB"/>
    <w:rsid w:val="001528F9"/>
    <w:rsid w:val="001960A7"/>
    <w:rsid w:val="001F6C78"/>
    <w:rsid w:val="00214ABA"/>
    <w:rsid w:val="00240CB0"/>
    <w:rsid w:val="00254512"/>
    <w:rsid w:val="00282F45"/>
    <w:rsid w:val="002921DC"/>
    <w:rsid w:val="002D2DB9"/>
    <w:rsid w:val="003107B9"/>
    <w:rsid w:val="00342340"/>
    <w:rsid w:val="003B50CA"/>
    <w:rsid w:val="003E0D6D"/>
    <w:rsid w:val="0044449C"/>
    <w:rsid w:val="004D01DE"/>
    <w:rsid w:val="00503EC3"/>
    <w:rsid w:val="00506177"/>
    <w:rsid w:val="005309D6"/>
    <w:rsid w:val="00551592"/>
    <w:rsid w:val="00551F98"/>
    <w:rsid w:val="005D17B4"/>
    <w:rsid w:val="006002CD"/>
    <w:rsid w:val="006372A4"/>
    <w:rsid w:val="00657534"/>
    <w:rsid w:val="00680E5D"/>
    <w:rsid w:val="00685285"/>
    <w:rsid w:val="006F1CD7"/>
    <w:rsid w:val="007517C1"/>
    <w:rsid w:val="00755DCD"/>
    <w:rsid w:val="00787A6B"/>
    <w:rsid w:val="00792731"/>
    <w:rsid w:val="00814514"/>
    <w:rsid w:val="00920CE5"/>
    <w:rsid w:val="00942619"/>
    <w:rsid w:val="009A0532"/>
    <w:rsid w:val="009A1D14"/>
    <w:rsid w:val="009B6CBE"/>
    <w:rsid w:val="009E3013"/>
    <w:rsid w:val="00A703D7"/>
    <w:rsid w:val="00A77F60"/>
    <w:rsid w:val="00AC2D8A"/>
    <w:rsid w:val="00AD23F6"/>
    <w:rsid w:val="00AD34F7"/>
    <w:rsid w:val="00AF6A3C"/>
    <w:rsid w:val="00B272CB"/>
    <w:rsid w:val="00B303B0"/>
    <w:rsid w:val="00B56D26"/>
    <w:rsid w:val="00B6546F"/>
    <w:rsid w:val="00B83B77"/>
    <w:rsid w:val="00BC78B3"/>
    <w:rsid w:val="00BE03B6"/>
    <w:rsid w:val="00C52151"/>
    <w:rsid w:val="00C54A2B"/>
    <w:rsid w:val="00C7338F"/>
    <w:rsid w:val="00C973F7"/>
    <w:rsid w:val="00CA3A8B"/>
    <w:rsid w:val="00CB4B15"/>
    <w:rsid w:val="00CF444E"/>
    <w:rsid w:val="00CF61ED"/>
    <w:rsid w:val="00D20DDE"/>
    <w:rsid w:val="00D217BF"/>
    <w:rsid w:val="00D261B2"/>
    <w:rsid w:val="00D5432A"/>
    <w:rsid w:val="00DF50CF"/>
    <w:rsid w:val="00E01374"/>
    <w:rsid w:val="00E04215"/>
    <w:rsid w:val="00E26A9E"/>
    <w:rsid w:val="00E46D69"/>
    <w:rsid w:val="00E6490E"/>
    <w:rsid w:val="00E730D8"/>
    <w:rsid w:val="00E8120E"/>
    <w:rsid w:val="00E90EC8"/>
    <w:rsid w:val="00F34CC9"/>
    <w:rsid w:val="00F42D2F"/>
    <w:rsid w:val="00F86AD3"/>
    <w:rsid w:val="00FA139D"/>
    <w:rsid w:val="00FC425C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1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4449C"/>
    <w:rPr>
      <w:kern w:val="2"/>
    </w:rPr>
  </w:style>
  <w:style w:type="paragraph" w:styleId="a6">
    <w:name w:val="footer"/>
    <w:basedOn w:val="a"/>
    <w:link w:val="a7"/>
    <w:uiPriority w:val="99"/>
    <w:unhideWhenUsed/>
    <w:rsid w:val="00444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4449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3107B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107B9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ncu27064</cp:lastModifiedBy>
  <cp:revision>4</cp:revision>
  <cp:lastPrinted>2013-08-15T07:48:00Z</cp:lastPrinted>
  <dcterms:created xsi:type="dcterms:W3CDTF">2016-03-11T01:12:00Z</dcterms:created>
  <dcterms:modified xsi:type="dcterms:W3CDTF">2016-03-11T01:23:00Z</dcterms:modified>
</cp:coreProperties>
</file>