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A0" w:rsidRPr="00EB21F1" w:rsidRDefault="003141A0" w:rsidP="003141A0">
      <w:pPr>
        <w:tabs>
          <w:tab w:val="left" w:pos="2280"/>
        </w:tabs>
        <w:spacing w:beforeLines="50" w:before="180" w:line="3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B21F1">
        <w:rPr>
          <w:rFonts w:ascii="Times New Roman" w:eastAsia="標楷體" w:hAnsi="Times New Roman" w:cs="Times New Roman"/>
          <w:b/>
          <w:w w:val="90"/>
          <w:sz w:val="28"/>
          <w:szCs w:val="28"/>
        </w:rPr>
        <w:t>國立中央大學教師績優專利及技術移轉獎勵辦法</w:t>
      </w:r>
    </w:p>
    <w:tbl>
      <w:tblPr>
        <w:tblW w:w="9498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7938"/>
        <w:gridCol w:w="143"/>
        <w:gridCol w:w="141"/>
      </w:tblGrid>
      <w:tr w:rsidR="00D26EA2" w:rsidRPr="00D26EA2" w:rsidTr="000D77E5">
        <w:trPr>
          <w:gridAfter w:val="2"/>
          <w:wAfter w:w="284" w:type="dxa"/>
          <w:trHeight w:val="400"/>
        </w:trPr>
        <w:tc>
          <w:tcPr>
            <w:tcW w:w="9214" w:type="dxa"/>
            <w:gridSpan w:val="2"/>
            <w:shd w:val="clear" w:color="auto" w:fill="auto"/>
          </w:tcPr>
          <w:p w:rsidR="003141A0" w:rsidRPr="00D26EA2" w:rsidRDefault="003141A0" w:rsidP="00E151EF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D26EA2">
              <w:rPr>
                <w:rFonts w:ascii="Times New Roman" w:eastAsia="標楷體" w:hAnsi="Times New Roman" w:cs="Times New Roman"/>
                <w:sz w:val="20"/>
              </w:rPr>
              <w:t>95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學年度第二學期研究發展會議臨時會議通過（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96.06.06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  <w:p w:rsidR="003141A0" w:rsidRPr="00D26EA2" w:rsidRDefault="003141A0" w:rsidP="00E151EF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D26EA2">
              <w:rPr>
                <w:rFonts w:ascii="Times New Roman" w:eastAsia="標楷體" w:hAnsi="Times New Roman" w:cs="Times New Roman"/>
                <w:sz w:val="20"/>
              </w:rPr>
              <w:t>97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學年度第一學期研究發展會議臨時會議通過（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97.10.31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  <w:p w:rsidR="003141A0" w:rsidRPr="00D26EA2" w:rsidRDefault="003141A0" w:rsidP="00E151EF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bCs/>
                <w:sz w:val="20"/>
              </w:rPr>
            </w:pPr>
            <w:r w:rsidRPr="00D26EA2">
              <w:rPr>
                <w:rFonts w:ascii="Times New Roman" w:eastAsia="標楷體" w:hAnsi="Times New Roman" w:cs="Times New Roman"/>
                <w:bCs/>
                <w:sz w:val="20"/>
              </w:rPr>
              <w:t>97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</w:rPr>
              <w:t>學年度第一學</w:t>
            </w:r>
            <w:bookmarkStart w:id="0" w:name="_GoBack"/>
            <w:bookmarkEnd w:id="0"/>
            <w:r w:rsidRPr="00D26EA2">
              <w:rPr>
                <w:rFonts w:ascii="Times New Roman" w:eastAsia="標楷體" w:hAnsi="Times New Roman" w:cs="Times New Roman"/>
                <w:bCs/>
                <w:sz w:val="20"/>
              </w:rPr>
              <w:t>期第三次校務基金管理委員會通過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（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97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</w:rPr>
              <w:t>.12.17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</w:rPr>
              <w:t>）</w:t>
            </w:r>
          </w:p>
          <w:p w:rsidR="003141A0" w:rsidRPr="00D26EA2" w:rsidRDefault="003141A0" w:rsidP="00E151EF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教育部台高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(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三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)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字第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09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</w:rPr>
              <w:t>80006970</w:t>
            </w:r>
            <w:r w:rsidRPr="00D26EA2">
              <w:rPr>
                <w:rFonts w:ascii="Times New Roman" w:eastAsia="標楷體" w:hAnsi="Times New Roman" w:cs="Times New Roman"/>
                <w:bCs/>
                <w:sz w:val="20"/>
                <w:lang w:eastAsia="ja-JP"/>
              </w:rPr>
              <w:t>號函同意備查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（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98.01.13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）</w:t>
            </w:r>
          </w:p>
          <w:p w:rsidR="003141A0" w:rsidRPr="00D26EA2" w:rsidRDefault="003141A0" w:rsidP="00E151EF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D26EA2">
              <w:rPr>
                <w:rFonts w:ascii="Times New Roman" w:eastAsia="標楷體" w:hAnsi="Times New Roman" w:cs="Times New Roman"/>
                <w:sz w:val="20"/>
              </w:rPr>
              <w:t>100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學年度第一次校務基金管理委員會通過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(100.08.01)</w:t>
            </w:r>
          </w:p>
          <w:p w:rsidR="003141A0" w:rsidRDefault="003141A0" w:rsidP="00E151EF">
            <w:pPr>
              <w:spacing w:line="300" w:lineRule="exact"/>
              <w:jc w:val="right"/>
              <w:rPr>
                <w:rFonts w:ascii="Times New Roman" w:eastAsia="標楷體" w:hAnsi="Times New Roman" w:cs="Times New Roman" w:hint="eastAsia"/>
                <w:sz w:val="20"/>
              </w:rPr>
            </w:pPr>
            <w:r w:rsidRPr="00D26EA2">
              <w:rPr>
                <w:rFonts w:ascii="Times New Roman" w:eastAsia="標楷體" w:hAnsi="Times New Roman" w:cs="Times New Roman"/>
                <w:sz w:val="20"/>
              </w:rPr>
              <w:t>104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學年度第一學期研究發展會議通過</w:t>
            </w:r>
            <w:r w:rsidRPr="00D26EA2">
              <w:rPr>
                <w:rFonts w:ascii="Times New Roman" w:eastAsia="標楷體" w:hAnsi="Times New Roman" w:cs="Times New Roman"/>
                <w:sz w:val="20"/>
              </w:rPr>
              <w:t>(104.10.06)</w:t>
            </w:r>
          </w:p>
          <w:p w:rsidR="00EB21F1" w:rsidRPr="00EB21F1" w:rsidRDefault="00EB21F1" w:rsidP="00EB21F1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0"/>
                <w:u w:val="single"/>
              </w:rPr>
            </w:pPr>
            <w:r w:rsidRPr="00EB21F1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>104</w:t>
            </w:r>
            <w:r w:rsidRPr="00EB21F1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>學年度第二學期研究發展會議通過</w:t>
            </w:r>
            <w:r w:rsidRPr="00EB21F1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>(105.03.04)</w:t>
            </w:r>
          </w:p>
        </w:tc>
      </w:tr>
      <w:tr w:rsidR="00D26EA2" w:rsidRPr="00D26EA2" w:rsidTr="000D77E5">
        <w:trPr>
          <w:trHeight w:val="1012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第一條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3141A0" w:rsidRPr="00D26EA2" w:rsidRDefault="003141A0" w:rsidP="003141A0">
            <w:pPr>
              <w:spacing w:line="360" w:lineRule="exact"/>
              <w:ind w:leftChars="106" w:left="254" w:firstLine="2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（宗旨）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  <w:bCs/>
              </w:rPr>
              <w:t>國立中央大學（以下簡稱本校）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為鼓勵本校專任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(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專案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)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教師及研究人員研發成果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之專利化</w:t>
            </w:r>
            <w:r w:rsidRPr="00D26EA2">
              <w:rPr>
                <w:rFonts w:ascii="Times New Roman" w:eastAsia="標楷體" w:hAnsi="Times New Roman" w:cs="Times New Roman"/>
              </w:rPr>
              <w:t>，獎勵績優技術移轉之貢獻，以推廣研發成果，特訂定本辦法。</w:t>
            </w:r>
          </w:p>
        </w:tc>
      </w:tr>
      <w:tr w:rsidR="00D26EA2" w:rsidRPr="00D26EA2" w:rsidTr="000D77E5">
        <w:trPr>
          <w:trHeight w:val="710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第二條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ind w:leftChars="106" w:left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（經費來源）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本辦法之經費來源為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本校</w:t>
            </w:r>
            <w:r w:rsidRPr="00D26EA2">
              <w:rPr>
                <w:rFonts w:ascii="Times New Roman" w:eastAsia="標楷體" w:hAnsi="Times New Roman" w:cs="Times New Roman"/>
              </w:rPr>
              <w:t>自籌收入。</w:t>
            </w:r>
          </w:p>
        </w:tc>
      </w:tr>
      <w:tr w:rsidR="00D26EA2" w:rsidRPr="00D26EA2" w:rsidTr="000D77E5">
        <w:trPr>
          <w:trHeight w:val="757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第三條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ind w:leftChars="106" w:left="254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（受獎人資格）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本獎勵之受獎人以本校專任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(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專案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)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教師及研究人員為限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。</w:t>
            </w:r>
          </w:p>
        </w:tc>
      </w:tr>
      <w:tr w:rsidR="00D26EA2" w:rsidRPr="00D26EA2" w:rsidTr="000D77E5">
        <w:trPr>
          <w:trHeight w:val="709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第四條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ind w:leftChars="106" w:left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（審查委員會）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  <w:bCs/>
              </w:rPr>
            </w:pPr>
            <w:r w:rsidRPr="00D26EA2">
              <w:rPr>
                <w:rFonts w:ascii="Times New Roman" w:eastAsia="標楷體" w:hAnsi="Times New Roman" w:cs="Times New Roman"/>
                <w:bCs/>
              </w:rPr>
              <w:t>本辦法各獎項由「績優專利及技術移轉獎勵審查委員會」審查之。</w:t>
            </w:r>
          </w:p>
          <w:p w:rsidR="00DC06CB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  <w:b/>
                <w:bCs/>
              </w:rPr>
            </w:pPr>
            <w:r w:rsidRPr="00D26EA2">
              <w:rPr>
                <w:rFonts w:ascii="Times New Roman" w:eastAsia="標楷體" w:hAnsi="Times New Roman" w:cs="Times New Roman"/>
                <w:bCs/>
              </w:rPr>
              <w:t>前項之委員會由研發長、</w:t>
            </w:r>
            <w:r w:rsidRPr="00D26EA2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副研發長</w:t>
            </w:r>
            <w:r w:rsidRPr="00D26EA2">
              <w:rPr>
                <w:rFonts w:ascii="新細明體" w:hAnsi="新細明體" w:cs="Times New Roman" w:hint="eastAsia"/>
                <w:bCs/>
              </w:rPr>
              <w:t>、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研發處智權技轉組組長、委員</w:t>
            </w:r>
            <w:r w:rsidRPr="00D26EA2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四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至</w:t>
            </w:r>
            <w:r w:rsidRPr="00D26EA2">
              <w:rPr>
                <w:rFonts w:ascii="Times New Roman" w:eastAsia="標楷體" w:hAnsi="Times New Roman" w:cs="Times New Roman" w:hint="eastAsia"/>
                <w:b/>
                <w:bCs/>
                <w:u w:val="single"/>
              </w:rPr>
              <w:t>六</w:t>
            </w:r>
            <w:r w:rsidR="00DC06CB" w:rsidRPr="00D26EA2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</w:t>
            </w:r>
          </w:p>
          <w:p w:rsidR="003141A0" w:rsidRPr="00D26EA2" w:rsidRDefault="003141A0" w:rsidP="00DC06CB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  <w:bCs/>
              </w:rPr>
              <w:t>人組成，任期二年，研發長為召集人，委員由</w:t>
            </w:r>
            <w:r w:rsidRPr="00D26EA2">
              <w:rPr>
                <w:rFonts w:ascii="Times New Roman" w:eastAsia="標楷體" w:hAnsi="Times New Roman" w:cs="Times New Roman"/>
                <w:b/>
                <w:bCs/>
                <w:u w:val="single"/>
              </w:rPr>
              <w:t>研發長核定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之。</w:t>
            </w:r>
          </w:p>
        </w:tc>
      </w:tr>
      <w:tr w:rsidR="00D26EA2" w:rsidRPr="00D26EA2" w:rsidTr="000D77E5">
        <w:trPr>
          <w:trHeight w:val="1362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b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b/>
              </w:rPr>
              <w:t>第</w:t>
            </w:r>
            <w:r w:rsidRPr="00D26EA2">
              <w:rPr>
                <w:rFonts w:ascii="Times New Roman" w:eastAsia="標楷體" w:hAnsi="Times New Roman" w:cs="Times New Roman" w:hint="eastAsia"/>
                <w:b/>
              </w:rPr>
              <w:t>五</w:t>
            </w:r>
            <w:r w:rsidRPr="00D26EA2">
              <w:rPr>
                <w:rFonts w:ascii="Times New Roman" w:eastAsia="標楷體" w:hAnsi="Times New Roman" w:cs="Times New Roman"/>
                <w:b/>
                <w:lang w:eastAsia="ja-JP"/>
              </w:rPr>
              <w:t>條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ind w:leftChars="106" w:left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（績優專利獎勵）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本校專任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(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專案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)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教師或研究人員之技術移轉案件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，</w:t>
            </w:r>
            <w:r w:rsidRPr="00D26EA2">
              <w:rPr>
                <w:rFonts w:ascii="Times New Roman" w:eastAsia="標楷體" w:hAnsi="Times New Roman" w:cs="Times New Roman"/>
              </w:rPr>
              <w:t>並以本校為專利權人，或依規定由本校與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其他機關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(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構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)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、企業</w:t>
            </w:r>
            <w:r w:rsidRPr="00D26EA2">
              <w:rPr>
                <w:rFonts w:ascii="Times New Roman" w:eastAsia="標楷體" w:hAnsi="Times New Roman" w:cs="Times New Roman"/>
              </w:rPr>
              <w:t>共有之發明專利申請案，符合下列條件之一者，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核發「績優專利獎」，並頒給獎牌一面</w:t>
            </w:r>
            <w:r w:rsidRPr="00D26EA2">
              <w:rPr>
                <w:rFonts w:ascii="Times New Roman" w:eastAsia="標楷體" w:hAnsi="Times New Roman" w:cs="Times New Roman"/>
              </w:rPr>
              <w:t>：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一、年度獲准專利總數達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（含）三</w:t>
            </w:r>
            <w:r w:rsidRPr="00D26EA2">
              <w:rPr>
                <w:rFonts w:ascii="Times New Roman" w:eastAsia="標楷體" w:hAnsi="Times New Roman" w:cs="Times New Roman"/>
              </w:rPr>
              <w:t>件以上者。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  <w:bCs/>
              </w:rPr>
              <w:t>二、近三年內獲准專利</w:t>
            </w:r>
            <w:r w:rsidRPr="00D26EA2">
              <w:rPr>
                <w:rFonts w:ascii="Times New Roman" w:eastAsia="標楷體" w:hAnsi="Times New Roman" w:cs="Times New Roman"/>
              </w:rPr>
              <w:t>總數</w:t>
            </w:r>
            <w:r w:rsidRPr="00D26EA2">
              <w:rPr>
                <w:rFonts w:ascii="Times New Roman" w:eastAsia="標楷體" w:hAnsi="Times New Roman" w:cs="Times New Roman"/>
                <w:bCs/>
              </w:rPr>
              <w:t>達（含）四件以上者。</w:t>
            </w:r>
          </w:p>
          <w:p w:rsidR="003141A0" w:rsidRPr="00D26EA2" w:rsidRDefault="003141A0" w:rsidP="003141A0">
            <w:pPr>
              <w:spacing w:beforeLines="30" w:before="108"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前項獲獎後，得獎人日後就本獎項審查時之實際案件應重新累計，不計入得獎前已累計之專利案件。</w:t>
            </w:r>
          </w:p>
          <w:p w:rsidR="003141A0" w:rsidRPr="00D26EA2" w:rsidRDefault="003141A0" w:rsidP="003141A0">
            <w:pPr>
              <w:spacing w:beforeLines="30" w:before="108"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第一項專利獲准數之計算，以證書所載領證日為基準。</w:t>
            </w:r>
          </w:p>
        </w:tc>
      </w:tr>
      <w:tr w:rsidR="00D26EA2" w:rsidRPr="00D26EA2" w:rsidTr="000D77E5">
        <w:trPr>
          <w:trHeight w:val="993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b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b/>
                <w:lang w:eastAsia="ja-JP"/>
              </w:rPr>
              <w:t>第</w:t>
            </w:r>
            <w:r w:rsidRPr="00D26EA2">
              <w:rPr>
                <w:rFonts w:ascii="Times New Roman" w:eastAsia="標楷體" w:hAnsi="Times New Roman" w:cs="Times New Roman" w:hint="eastAsia"/>
                <w:b/>
              </w:rPr>
              <w:t>六</w:t>
            </w:r>
            <w:r w:rsidRPr="00D26EA2">
              <w:rPr>
                <w:rFonts w:ascii="Times New Roman" w:eastAsia="標楷體" w:hAnsi="Times New Roman" w:cs="Times New Roman"/>
                <w:b/>
                <w:lang w:eastAsia="ja-JP"/>
              </w:rPr>
              <w:t>條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（技術移轉獎勵）</w:t>
            </w:r>
          </w:p>
          <w:p w:rsidR="003141A0" w:rsidRPr="00D26EA2" w:rsidRDefault="003141A0" w:rsidP="003141A0">
            <w:pPr>
              <w:spacing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本校專任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(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專案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)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教師或研究人員之技術移轉案件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，年度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之權利金或衍生利益金實際收入達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新臺幣</w:t>
            </w:r>
            <w:r w:rsidRPr="00D26EA2">
              <w:rPr>
                <w:rFonts w:ascii="Times New Roman" w:eastAsia="標楷體" w:hAnsi="Times New Roman" w:cs="Times New Roman"/>
              </w:rPr>
              <w:t>五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十萬元以上者，</w:t>
            </w:r>
            <w:r w:rsidRPr="00D26EA2">
              <w:rPr>
                <w:rFonts w:ascii="Times New Roman" w:eastAsia="標楷體" w:hAnsi="Times New Roman" w:cs="Times New Roman"/>
                <w:b/>
                <w:u w:val="single"/>
                <w:lang w:eastAsia="ja-JP"/>
              </w:rPr>
              <w:t>頒發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「績優技術移轉獎」獎牌一面。</w:t>
            </w:r>
          </w:p>
          <w:p w:rsidR="003141A0" w:rsidRPr="00D26EA2" w:rsidRDefault="003141A0" w:rsidP="003141A0">
            <w:pPr>
              <w:spacing w:beforeLines="30" w:before="108"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本校專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任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(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專案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)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教師或研究人員之技術移轉案件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，年度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之權利金或衍生利益金實際收入累計達新台幣</w:t>
            </w:r>
            <w:r w:rsidRPr="00D26EA2">
              <w:rPr>
                <w:rFonts w:ascii="Times New Roman" w:eastAsia="標楷體" w:hAnsi="Times New Roman" w:cs="Times New Roman"/>
              </w:rPr>
              <w:t>二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百萬元以上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者，</w:t>
            </w:r>
            <w:r w:rsidRPr="00D26EA2">
              <w:rPr>
                <w:rFonts w:ascii="Times New Roman" w:eastAsia="標楷體" w:hAnsi="Times New Roman" w:cs="Times New Roman"/>
                <w:b/>
                <w:u w:val="single"/>
                <w:lang w:eastAsia="ja-JP"/>
              </w:rPr>
              <w:t>頒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發</w:t>
            </w:r>
            <w:r w:rsidRPr="00D26EA2">
              <w:rPr>
                <w:rFonts w:ascii="Times New Roman" w:eastAsia="標楷體" w:hAnsi="Times New Roman" w:cs="Times New Roman"/>
                <w:lang w:eastAsia="ja-JP"/>
              </w:rPr>
              <w:t>「傑出技術移轉貢獻獎」獎牌一面。</w:t>
            </w:r>
          </w:p>
          <w:p w:rsidR="003141A0" w:rsidRPr="00D26EA2" w:rsidRDefault="003141A0" w:rsidP="00DC06CB">
            <w:pPr>
              <w:spacing w:beforeLines="30" w:before="108" w:line="360" w:lineRule="exact"/>
              <w:ind w:leftChars="106" w:left="254" w:firstLineChars="106" w:firstLine="254"/>
              <w:rPr>
                <w:rFonts w:ascii="Times New Roman" w:eastAsia="標楷體" w:hAnsi="Times New Roman" w:cs="Times New Roman"/>
                <w:bCs/>
                <w:lang w:eastAsia="ja-JP"/>
              </w:rPr>
            </w:pP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符合前項獲獎資格者，頒給「傑出技術移轉貢獻獎」外，不另頒給</w:t>
            </w:r>
            <w:r w:rsidR="000D77E5"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t>「績優</w:t>
            </w:r>
            <w:r w:rsidRPr="00D26EA2">
              <w:rPr>
                <w:rFonts w:ascii="Times New Roman" w:eastAsia="標楷體" w:hAnsi="Times New Roman" w:cs="Times New Roman"/>
                <w:bCs/>
                <w:lang w:eastAsia="ja-JP"/>
              </w:rPr>
              <w:lastRenderedPageBreak/>
              <w:t>移轉獎」。</w:t>
            </w:r>
          </w:p>
        </w:tc>
      </w:tr>
      <w:tr w:rsidR="00D26EA2" w:rsidRPr="00D26EA2" w:rsidTr="000D77E5">
        <w:trPr>
          <w:gridAfter w:val="1"/>
          <w:wAfter w:w="141" w:type="dxa"/>
          <w:trHeight w:val="282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D26EA2">
              <w:rPr>
                <w:rFonts w:ascii="Times New Roman" w:eastAsia="標楷體" w:hAnsi="Times New Roman" w:cs="Times New Roman"/>
                <w:b/>
              </w:rPr>
              <w:lastRenderedPageBreak/>
              <w:t>第</w:t>
            </w:r>
            <w:r w:rsidR="00D26EA2" w:rsidRPr="00D26EA2">
              <w:rPr>
                <w:rFonts w:ascii="Times New Roman" w:eastAsia="標楷體" w:hAnsi="Times New Roman" w:cs="Times New Roman" w:hint="eastAsia"/>
                <w:b/>
              </w:rPr>
              <w:t>七</w:t>
            </w:r>
            <w:r w:rsidRPr="00D26EA2">
              <w:rPr>
                <w:rFonts w:ascii="Times New Roman" w:eastAsia="標楷體" w:hAnsi="Times New Roman" w:cs="Times New Roman"/>
                <w:b/>
              </w:rPr>
              <w:t>條</w:t>
            </w:r>
          </w:p>
        </w:tc>
        <w:tc>
          <w:tcPr>
            <w:tcW w:w="8081" w:type="dxa"/>
            <w:gridSpan w:val="2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rPr>
                <w:rFonts w:ascii="Times New Roman" w:eastAsia="標楷體" w:hAnsi="Times New Roman" w:cs="Times New Roman"/>
              </w:rPr>
            </w:pPr>
            <w:r w:rsidRPr="00D26EA2">
              <w:rPr>
                <w:rFonts w:ascii="Times New Roman" w:eastAsia="標楷體" w:hAnsi="Times New Roman" w:cs="Times New Roman"/>
              </w:rPr>
              <w:t>本辦法所稱年度，其績效計算期間為給獎前一年之八月起，迄於給獎當年之七月底止。</w:t>
            </w:r>
          </w:p>
        </w:tc>
      </w:tr>
      <w:tr w:rsidR="00D26EA2" w:rsidRPr="00D26EA2" w:rsidTr="000D77E5">
        <w:trPr>
          <w:gridAfter w:val="1"/>
          <w:wAfter w:w="141" w:type="dxa"/>
          <w:trHeight w:val="536"/>
        </w:trPr>
        <w:tc>
          <w:tcPr>
            <w:tcW w:w="1276" w:type="dxa"/>
            <w:shd w:val="clear" w:color="auto" w:fill="auto"/>
          </w:tcPr>
          <w:p w:rsidR="003141A0" w:rsidRPr="00D26EA2" w:rsidRDefault="003141A0" w:rsidP="00E151EF">
            <w:pPr>
              <w:spacing w:beforeLines="30" w:before="108" w:line="360" w:lineRule="exact"/>
              <w:rPr>
                <w:rFonts w:ascii="Times New Roman" w:eastAsia="標楷體" w:hAnsi="Times New Roman" w:cs="Times New Roman"/>
                <w:b/>
              </w:rPr>
            </w:pPr>
            <w:r w:rsidRPr="00D26EA2">
              <w:rPr>
                <w:rFonts w:ascii="Times New Roman" w:eastAsia="標楷體" w:hAnsi="Times New Roman" w:cs="Times New Roman"/>
                <w:b/>
              </w:rPr>
              <w:t>第</w:t>
            </w:r>
            <w:r w:rsidR="00D26EA2" w:rsidRPr="00D26EA2">
              <w:rPr>
                <w:rFonts w:ascii="Times New Roman" w:eastAsia="標楷體" w:hAnsi="Times New Roman" w:cs="Times New Roman" w:hint="eastAsia"/>
                <w:b/>
              </w:rPr>
              <w:t>八</w:t>
            </w:r>
            <w:r w:rsidRPr="00D26EA2">
              <w:rPr>
                <w:rFonts w:ascii="Times New Roman" w:eastAsia="標楷體" w:hAnsi="Times New Roman" w:cs="Times New Roman"/>
                <w:b/>
              </w:rPr>
              <w:t>條</w:t>
            </w:r>
          </w:p>
        </w:tc>
        <w:tc>
          <w:tcPr>
            <w:tcW w:w="8081" w:type="dxa"/>
            <w:gridSpan w:val="2"/>
            <w:shd w:val="clear" w:color="auto" w:fill="auto"/>
          </w:tcPr>
          <w:p w:rsidR="003141A0" w:rsidRPr="00D26EA2" w:rsidRDefault="003141A0" w:rsidP="003141A0">
            <w:pPr>
              <w:spacing w:beforeLines="50" w:before="180" w:line="36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D26EA2">
              <w:rPr>
                <w:rFonts w:ascii="Times New Roman" w:eastAsia="標楷體" w:hAnsi="Times New Roman" w:cs="Times New Roman"/>
                <w:lang w:eastAsia="ja-JP"/>
              </w:rPr>
              <w:t>本辦法經研究發展會議</w:t>
            </w:r>
            <w:r w:rsidRPr="00D26EA2">
              <w:rPr>
                <w:rFonts w:ascii="Times New Roman" w:eastAsia="標楷體" w:hAnsi="Times New Roman" w:cs="Times New Roman"/>
              </w:rPr>
              <w:t>通過</w:t>
            </w:r>
            <w:r w:rsidRPr="00D26EA2">
              <w:rPr>
                <w:rFonts w:ascii="Times New Roman" w:eastAsia="標楷體" w:hAnsi="Times New Roman" w:cs="Times New Roman" w:hint="eastAsia"/>
                <w:b/>
                <w:u w:val="single"/>
              </w:rPr>
              <w:t>後</w:t>
            </w:r>
            <w:r w:rsidRPr="00D26EA2">
              <w:rPr>
                <w:rFonts w:ascii="Times New Roman" w:eastAsia="標楷體" w:hAnsi="Times New Roman" w:cs="Times New Roman"/>
              </w:rPr>
              <w:t>實施，修正時亦同。</w:t>
            </w:r>
          </w:p>
        </w:tc>
      </w:tr>
    </w:tbl>
    <w:p w:rsidR="00732D16" w:rsidRPr="00D26EA2" w:rsidRDefault="00732D16"/>
    <w:sectPr w:rsidR="00732D16" w:rsidRPr="00D26EA2" w:rsidSect="00626FE3">
      <w:footerReference w:type="default" r:id="rId8"/>
      <w:pgSz w:w="11906" w:h="16838"/>
      <w:pgMar w:top="993" w:right="1800" w:bottom="1440" w:left="1800" w:header="851" w:footer="992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0E" w:rsidRDefault="00A6350E" w:rsidP="00D9556E">
      <w:r>
        <w:separator/>
      </w:r>
    </w:p>
  </w:endnote>
  <w:endnote w:type="continuationSeparator" w:id="0">
    <w:p w:rsidR="00A6350E" w:rsidRDefault="00A6350E" w:rsidP="00D9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FE3" w:rsidRDefault="00626FE3">
    <w:pPr>
      <w:pStyle w:val="a7"/>
      <w:jc w:val="center"/>
    </w:pPr>
  </w:p>
  <w:p w:rsidR="00626FE3" w:rsidRDefault="00626F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0E" w:rsidRDefault="00A6350E" w:rsidP="00D9556E">
      <w:r>
        <w:separator/>
      </w:r>
    </w:p>
  </w:footnote>
  <w:footnote w:type="continuationSeparator" w:id="0">
    <w:p w:rsidR="00A6350E" w:rsidRDefault="00A6350E" w:rsidP="00D95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B11B1"/>
    <w:multiLevelType w:val="hybridMultilevel"/>
    <w:tmpl w:val="B7A23A24"/>
    <w:lvl w:ilvl="0" w:tplc="8914451C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A0"/>
    <w:rsid w:val="00003669"/>
    <w:rsid w:val="000D77E5"/>
    <w:rsid w:val="001D4C4F"/>
    <w:rsid w:val="0020229D"/>
    <w:rsid w:val="003141A0"/>
    <w:rsid w:val="003D1586"/>
    <w:rsid w:val="00544D9A"/>
    <w:rsid w:val="00565A9E"/>
    <w:rsid w:val="005B6F2B"/>
    <w:rsid w:val="00606E26"/>
    <w:rsid w:val="00626FE3"/>
    <w:rsid w:val="00682D9C"/>
    <w:rsid w:val="006A3901"/>
    <w:rsid w:val="00732D16"/>
    <w:rsid w:val="00781CC7"/>
    <w:rsid w:val="00787CFD"/>
    <w:rsid w:val="007D6033"/>
    <w:rsid w:val="00826CEF"/>
    <w:rsid w:val="009A0401"/>
    <w:rsid w:val="00A6350E"/>
    <w:rsid w:val="00A834D5"/>
    <w:rsid w:val="00A913E1"/>
    <w:rsid w:val="00AE6BB4"/>
    <w:rsid w:val="00BE29D8"/>
    <w:rsid w:val="00D26EA2"/>
    <w:rsid w:val="00D342F2"/>
    <w:rsid w:val="00D9556E"/>
    <w:rsid w:val="00DC06CB"/>
    <w:rsid w:val="00EB21F1"/>
    <w:rsid w:val="00FB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4F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41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556E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556E"/>
    <w:rPr>
      <w:rFonts w:ascii="Calibri" w:eastAsia="新細明體" w:hAnsi="Calibri" w:cs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4F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41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5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556E"/>
    <w:rPr>
      <w:rFonts w:ascii="Calibri" w:eastAsia="新細明體" w:hAnsi="Calibri" w:cs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556E"/>
    <w:rPr>
      <w:rFonts w:ascii="Calibri" w:eastAsia="新細明體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ncu27064</cp:lastModifiedBy>
  <cp:revision>2</cp:revision>
  <cp:lastPrinted>2016-02-23T01:08:00Z</cp:lastPrinted>
  <dcterms:created xsi:type="dcterms:W3CDTF">2016-03-11T01:28:00Z</dcterms:created>
  <dcterms:modified xsi:type="dcterms:W3CDTF">2016-03-11T01:28:00Z</dcterms:modified>
</cp:coreProperties>
</file>